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b/>
          <w:b/>
          <w:color w:val="000000"/>
          <w:sz w:val="26"/>
          <w:szCs w:val="26"/>
        </w:rPr>
      </w:pPr>
      <w:bookmarkStart w:id="0" w:name="_GoBack"/>
      <w:bookmarkEnd w:id="0"/>
      <w:r>
        <w:rPr/>
        <mc:AlternateContent>
          <mc:Choice Requires="wps">
            <w:drawing>
              <wp:inline distT="0" distB="0" distL="0" distR="0">
                <wp:extent cx="619760" cy="695960"/>
                <wp:effectExtent l="0" t="0" r="0" b="0"/>
                <wp:docPr id="1" name=""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 descr=""/>
                        <pic:cNvPicPr/>
                      </pic:nvPicPr>
                      <pic:blipFill>
                        <a:blip r:embed="rId2"/>
                        <a:stretch/>
                      </pic:blipFill>
                      <pic:spPr>
                        <a:xfrm>
                          <a:off x="0" y="0"/>
                          <a:ext cx="619200" cy="69516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rect id="shape_0" stroked="f" style="position:absolute;margin-left:0pt;margin-top:-54.8pt;width:48.7pt;height:54.7pt;mso-position-vertical:top">
                <v:imagedata r:id="rId2" o:detectmouseclick="t"/>
                <w10:wrap type="none"/>
                <v:stroke color="#3465a4" joinstyle="round" endcap="flat"/>
              </v:rect>
            </w:pict>
          </mc:Fallback>
        </mc:AlternateContent>
      </w:r>
    </w:p>
    <w:p>
      <w:pPr>
        <w:pStyle w:val="Normal"/>
        <w:jc w:val="center"/>
        <w:rPr>
          <w:b/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>SERVIÇO PÚBLICO FEDERAL</w:t>
      </w:r>
    </w:p>
    <w:p>
      <w:pPr>
        <w:pStyle w:val="Normal"/>
        <w:jc w:val="center"/>
        <w:rPr>
          <w:b/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>UNIVERSIDADE FEDERAL DE ALAGOAS - UFAL</w:t>
      </w:r>
    </w:p>
    <w:p>
      <w:pPr>
        <w:pStyle w:val="Normal"/>
        <w:jc w:val="center"/>
        <w:rPr>
          <w:b/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>CAMPUS DO SERTÃO – DELMIRO GOUVEIA</w:t>
      </w:r>
    </w:p>
    <w:p>
      <w:pPr>
        <w:pStyle w:val="Normal"/>
        <w:jc w:val="center"/>
        <w:rPr>
          <w:b/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>COORDENAÇÃO DE MONITORIA – COGRAD</w:t>
      </w:r>
    </w:p>
    <w:p>
      <w:pPr>
        <w:pStyle w:val="Normal"/>
        <w:jc w:val="center"/>
        <w:rPr>
          <w:b/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</w:r>
    </w:p>
    <w:p>
      <w:pPr>
        <w:pStyle w:val="Normal"/>
        <w:jc w:val="center"/>
        <w:rPr>
          <w:b/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</w:r>
    </w:p>
    <w:p>
      <w:pPr>
        <w:pStyle w:val="Normal"/>
        <w:jc w:val="center"/>
        <w:rPr>
          <w:b/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 xml:space="preserve">QUADRO DE VAGAS </w:t>
      </w:r>
    </w:p>
    <w:p>
      <w:pPr>
        <w:pStyle w:val="Normal"/>
        <w:jc w:val="center"/>
        <w:rPr>
          <w:b/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>MONITORIA – 2019</w:t>
      </w:r>
    </w:p>
    <w:p>
      <w:pPr>
        <w:pStyle w:val="Normal"/>
        <w:rPr>
          <w:b/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</w:r>
    </w:p>
    <w:p>
      <w:pPr>
        <w:pStyle w:val="Normal"/>
        <w:rPr>
          <w:b/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>Curso: Pedagogia</w:t>
      </w:r>
    </w:p>
    <w:p>
      <w:pPr>
        <w:pStyle w:val="Normal"/>
        <w:rPr>
          <w:b/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 xml:space="preserve">Coordenador(a): Ana Cristina Conceição Santos </w:t>
      </w:r>
    </w:p>
    <w:p>
      <w:pPr>
        <w:pStyle w:val="Normal"/>
        <w:rPr>
          <w:b/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</w:r>
    </w:p>
    <w:tbl>
      <w:tblPr>
        <w:tblStyle w:val="Tabelacomgrade"/>
        <w:tblW w:w="9209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68"/>
        <w:gridCol w:w="3296"/>
        <w:gridCol w:w="945"/>
        <w:gridCol w:w="1664"/>
        <w:gridCol w:w="2836"/>
      </w:tblGrid>
      <w:tr>
        <w:trPr/>
        <w:tc>
          <w:tcPr>
            <w:tcW w:w="468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-Bold" w:hAnsi="Times-Bold" w:cs="Times-Bold"/>
                <w:b/>
                <w:b/>
                <w:bCs/>
                <w:color w:val="000000"/>
              </w:rPr>
            </w:pPr>
            <w:r>
              <w:rPr>
                <w:rFonts w:cs="Times-Bold" w:ascii="Times-Bold" w:hAnsi="Times-Bold"/>
                <w:b/>
                <w:bCs/>
                <w:color w:val="000000"/>
              </w:rPr>
              <w:t>Nº</w:t>
            </w:r>
          </w:p>
        </w:tc>
        <w:tc>
          <w:tcPr>
            <w:tcW w:w="8741" w:type="dxa"/>
            <w:gridSpan w:val="4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-Bold" w:hAnsi="Times-Bold" w:cs="Times-Bold"/>
                <w:b/>
                <w:b/>
                <w:bCs/>
                <w:color w:val="000000"/>
              </w:rPr>
            </w:pPr>
            <w:r>
              <w:rPr>
                <w:rFonts w:cs="Times-Bold" w:ascii="Times-Bold" w:hAnsi="Times-Bold"/>
                <w:b/>
                <w:bCs/>
                <w:color w:val="000000"/>
              </w:rPr>
              <w:t>COM BOLSA</w:t>
            </w:r>
          </w:p>
        </w:tc>
      </w:tr>
      <w:tr>
        <w:trPr/>
        <w:tc>
          <w:tcPr>
            <w:tcW w:w="468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-Bold" w:hAnsi="Times-Bold" w:cs="Times-Bold"/>
                <w:b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Times-Bold" w:ascii="Times-Bold" w:hAnsi="Times-Bold"/>
                <w:b/>
                <w:bCs/>
                <w:color w:val="000000"/>
                <w:sz w:val="20"/>
                <w:szCs w:val="20"/>
              </w:rPr>
            </w:r>
          </w:p>
        </w:tc>
        <w:tc>
          <w:tcPr>
            <w:tcW w:w="3296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-Bold" w:hAnsi="Times-Bold" w:cs="Times-Bold"/>
                <w:b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Times-Bold" w:ascii="Times-Bold" w:hAnsi="Times-Bold"/>
                <w:b/>
                <w:bCs/>
                <w:color w:val="000000"/>
                <w:sz w:val="20"/>
                <w:szCs w:val="20"/>
              </w:rPr>
              <w:t>DISCIPLINA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-Bold" w:hAnsi="Times-Bold" w:cs="Times-Bold"/>
                <w:b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Times-Bold" w:ascii="Times-Bold" w:hAnsi="Times-Bold"/>
                <w:b/>
                <w:bCs/>
                <w:color w:val="000000"/>
                <w:sz w:val="20"/>
                <w:szCs w:val="20"/>
              </w:rPr>
            </w:r>
          </w:p>
        </w:tc>
        <w:tc>
          <w:tcPr>
            <w:tcW w:w="945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ind w:left="140" w:hanging="0"/>
              <w:jc w:val="center"/>
              <w:rPr>
                <w:rFonts w:ascii="Times-Bold" w:hAnsi="Times-Bold" w:cs="Times-Bold"/>
                <w:b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Times-Bold" w:ascii="Times-Bold" w:hAnsi="Times-Bold"/>
                <w:b/>
                <w:bCs/>
                <w:color w:val="000000"/>
                <w:sz w:val="20"/>
                <w:szCs w:val="20"/>
              </w:rPr>
              <w:t>VAGA (QT.)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-Bold" w:hAnsi="Times-Bold" w:cs="Times-Bold"/>
                <w:b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Times-Bold" w:ascii="Times-Bold" w:hAnsi="Times-Bold"/>
                <w:b/>
                <w:bCs/>
                <w:color w:val="000000"/>
                <w:sz w:val="20"/>
                <w:szCs w:val="20"/>
              </w:rPr>
            </w:r>
          </w:p>
        </w:tc>
        <w:tc>
          <w:tcPr>
            <w:tcW w:w="1664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ind w:left="5" w:hanging="0"/>
              <w:jc w:val="center"/>
              <w:rPr>
                <w:rFonts w:ascii="Times-Bold" w:hAnsi="Times-Bold" w:cs="Times-Bold"/>
                <w:b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Times-Bold" w:ascii="Times-Bold" w:hAnsi="Times-Bold"/>
                <w:b/>
                <w:bCs/>
                <w:color w:val="000000"/>
                <w:sz w:val="20"/>
                <w:szCs w:val="20"/>
              </w:rPr>
              <w:t>PROF. ORIENTADOR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-Bold" w:hAnsi="Times-Bold" w:cs="Times-Bold"/>
                <w:b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Times-Bold" w:ascii="Times-Bold" w:hAnsi="Times-Bold"/>
                <w:b/>
                <w:bCs/>
                <w:color w:val="000000"/>
                <w:sz w:val="20"/>
                <w:szCs w:val="20"/>
              </w:rPr>
            </w:r>
          </w:p>
        </w:tc>
        <w:tc>
          <w:tcPr>
            <w:tcW w:w="2836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-Bold" w:hAnsi="Times-Bold" w:cs="Times-Bold"/>
                <w:b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Times-Bold" w:ascii="Times-Bold" w:hAnsi="Times-Bold"/>
                <w:b/>
                <w:bCs/>
                <w:color w:val="000000"/>
                <w:sz w:val="20"/>
                <w:szCs w:val="20"/>
              </w:rPr>
              <w:t>PONTO PARA PROVA ESCRITA</w:t>
            </w:r>
          </w:p>
        </w:tc>
      </w:tr>
      <w:tr>
        <w:trPr/>
        <w:tc>
          <w:tcPr>
            <w:tcW w:w="468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-Bold" w:hAnsi="Times-Bold" w:cs="Times-Bold"/>
                <w:b/>
                <w:b/>
                <w:bCs/>
                <w:color w:val="000000"/>
              </w:rPr>
            </w:pPr>
            <w:r>
              <w:rPr>
                <w:rFonts w:cs="Times-Bold" w:ascii="Times-Bold" w:hAnsi="Times-Bold"/>
                <w:b/>
                <w:bCs/>
                <w:color w:val="000000"/>
              </w:rPr>
              <w:t>01</w:t>
            </w:r>
          </w:p>
        </w:tc>
        <w:tc>
          <w:tcPr>
            <w:tcW w:w="3296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Alfabetização e Letramento</w:t>
            </w:r>
          </w:p>
        </w:tc>
        <w:tc>
          <w:tcPr>
            <w:tcW w:w="945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1664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Denson André </w:t>
            </w:r>
          </w:p>
        </w:tc>
        <w:tc>
          <w:tcPr>
            <w:tcW w:w="2836" w:type="dxa"/>
            <w:tcBorders/>
            <w:shd w:fill="auto" w:val="clear"/>
            <w:tcMar>
              <w:left w:w="108" w:type="dxa"/>
            </w:tcMar>
          </w:tcPr>
          <w:p>
            <w:pPr>
              <w:pStyle w:val="ListParagraph"/>
              <w:numPr>
                <w:ilvl w:val="0"/>
                <w:numId w:val="4"/>
              </w:numPr>
              <w:spacing w:lineRule="auto" w:line="240" w:before="0" w:after="0"/>
              <w:contextualSpacing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Alfabetização</w:t>
            </w:r>
          </w:p>
          <w:p>
            <w:pPr>
              <w:pStyle w:val="ListParagraph"/>
              <w:numPr>
                <w:ilvl w:val="0"/>
                <w:numId w:val="4"/>
              </w:numPr>
              <w:spacing w:lineRule="auto" w:line="240" w:before="0" w:after="0"/>
              <w:contextualSpacing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Métodos da alfabetização</w:t>
            </w:r>
          </w:p>
          <w:p>
            <w:pPr>
              <w:pStyle w:val="ListParagraph"/>
              <w:numPr>
                <w:ilvl w:val="0"/>
                <w:numId w:val="4"/>
              </w:numPr>
              <w:spacing w:lineRule="auto" w:line="240" w:before="0" w:after="0"/>
              <w:contextualSpacing/>
              <w:rPr>
                <w:b/>
                <w:b/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Multiletramentos e alfabetização</w:t>
            </w:r>
          </w:p>
        </w:tc>
      </w:tr>
      <w:tr>
        <w:trPr/>
        <w:tc>
          <w:tcPr>
            <w:tcW w:w="468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-Bold" w:hAnsi="Times-Bold" w:cs="Times-Bold"/>
                <w:b/>
                <w:b/>
                <w:bCs/>
                <w:color w:val="000000"/>
              </w:rPr>
            </w:pPr>
            <w:r>
              <w:rPr>
                <w:rFonts w:cs="Times-Bold" w:ascii="Times-Bold" w:hAnsi="Times-Bold"/>
                <w:b/>
                <w:bCs/>
                <w:color w:val="000000"/>
              </w:rPr>
              <w:t>02</w:t>
            </w:r>
          </w:p>
        </w:tc>
        <w:tc>
          <w:tcPr>
            <w:tcW w:w="3296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Curriculo </w:t>
            </w:r>
          </w:p>
        </w:tc>
        <w:tc>
          <w:tcPr>
            <w:tcW w:w="945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1664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Rodrigo Pereira </w:t>
            </w:r>
          </w:p>
        </w:tc>
        <w:tc>
          <w:tcPr>
            <w:tcW w:w="2836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numPr>
                <w:ilvl w:val="0"/>
                <w:numId w:val="1"/>
              </w:numPr>
              <w:suppressAutoHyphens w:val="false"/>
              <w:spacing w:lineRule="auto" w:line="240" w:beforeAutospacing="1" w:after="0"/>
              <w:ind w:left="945" w:hanging="360"/>
              <w:rPr>
                <w:color w:val="000000"/>
                <w:sz w:val="20"/>
                <w:szCs w:val="20"/>
                <w:lang w:eastAsia="pt-BR"/>
              </w:rPr>
            </w:pPr>
            <w:r>
              <w:rPr>
                <w:color w:val="000000"/>
                <w:sz w:val="20"/>
                <w:szCs w:val="20"/>
                <w:lang w:eastAsia="pt-BR"/>
              </w:rPr>
              <w:t>A relação Currículo e cultural escolar;</w:t>
            </w:r>
          </w:p>
          <w:p>
            <w:pPr>
              <w:pStyle w:val="Normal"/>
              <w:numPr>
                <w:ilvl w:val="0"/>
                <w:numId w:val="1"/>
              </w:numPr>
              <w:suppressAutoHyphens w:val="false"/>
              <w:spacing w:lineRule="auto" w:line="240" w:before="0" w:after="0"/>
              <w:ind w:left="945" w:hanging="360"/>
              <w:rPr>
                <w:color w:val="000000"/>
                <w:sz w:val="20"/>
                <w:szCs w:val="20"/>
                <w:lang w:eastAsia="pt-BR"/>
              </w:rPr>
            </w:pPr>
            <w:r>
              <w:rPr>
                <w:color w:val="000000"/>
                <w:sz w:val="20"/>
                <w:szCs w:val="20"/>
                <w:lang w:eastAsia="pt-BR"/>
              </w:rPr>
              <w:t>Teorias do Currículo e a história dos estudos curriculares no Brasil;</w:t>
            </w:r>
          </w:p>
          <w:p>
            <w:pPr>
              <w:pStyle w:val="Normal"/>
              <w:numPr>
                <w:ilvl w:val="0"/>
                <w:numId w:val="1"/>
              </w:numPr>
              <w:suppressAutoHyphens w:val="false"/>
              <w:spacing w:lineRule="auto" w:line="240" w:before="0" w:afterAutospacing="1"/>
              <w:ind w:left="945" w:hanging="360"/>
              <w:rPr>
                <w:color w:val="000000"/>
                <w:sz w:val="20"/>
                <w:szCs w:val="20"/>
                <w:lang w:eastAsia="pt-BR"/>
              </w:rPr>
            </w:pPr>
            <w:r>
              <w:rPr>
                <w:color w:val="000000"/>
                <w:sz w:val="20"/>
                <w:szCs w:val="20"/>
                <w:lang w:eastAsia="pt-BR"/>
              </w:rPr>
              <w:t>A escola crítica e sua influência na construção do campo curricular brasileiro.</w:t>
            </w:r>
          </w:p>
        </w:tc>
      </w:tr>
      <w:tr>
        <w:trPr/>
        <w:tc>
          <w:tcPr>
            <w:tcW w:w="468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-Bold" w:hAnsi="Times-Bold" w:cs="Times-Bold"/>
                <w:b/>
                <w:b/>
                <w:bCs/>
                <w:color w:val="000000"/>
              </w:rPr>
            </w:pPr>
            <w:r>
              <w:rPr>
                <w:rFonts w:cs="Times-Bold" w:ascii="Times-Bold" w:hAnsi="Times-Bold"/>
                <w:b/>
                <w:bCs/>
                <w:color w:val="000000"/>
              </w:rPr>
              <w:t>03</w:t>
            </w:r>
          </w:p>
        </w:tc>
        <w:tc>
          <w:tcPr>
            <w:tcW w:w="3296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Desenvolvimento e Aprendizagem</w:t>
            </w:r>
          </w:p>
        </w:tc>
        <w:tc>
          <w:tcPr>
            <w:tcW w:w="945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1664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Noelia Rodrigues </w:t>
            </w:r>
          </w:p>
        </w:tc>
        <w:tc>
          <w:tcPr>
            <w:tcW w:w="2836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uppressAutoHyphens w:val="false"/>
              <w:spacing w:lineRule="atLeast" w:line="300" w:before="0" w:after="0"/>
              <w:rPr>
                <w:color w:val="222222"/>
                <w:sz w:val="20"/>
                <w:szCs w:val="20"/>
                <w:lang w:eastAsia="pt-BR"/>
              </w:rPr>
            </w:pPr>
            <w:r>
              <w:rPr>
                <w:color w:val="222222"/>
                <w:sz w:val="20"/>
                <w:szCs w:val="20"/>
                <w:lang w:eastAsia="pt-BR"/>
              </w:rPr>
            </w:r>
          </w:p>
          <w:p>
            <w:pPr>
              <w:pStyle w:val="Normal"/>
              <w:suppressAutoHyphens w:val="false"/>
              <w:spacing w:lineRule="atLeast" w:line="300" w:before="0" w:after="0"/>
              <w:rPr>
                <w:color w:val="222222"/>
                <w:sz w:val="20"/>
                <w:szCs w:val="20"/>
                <w:lang w:eastAsia="pt-BR"/>
              </w:rPr>
            </w:pPr>
            <w:r>
              <w:rPr>
                <w:color w:val="222222"/>
                <w:sz w:val="20"/>
                <w:szCs w:val="20"/>
                <w:lang w:eastAsia="pt-BR"/>
              </w:rPr>
              <w:t>1. As contribuições da psicanálise para a educação;</w:t>
            </w:r>
          </w:p>
          <w:p>
            <w:pPr>
              <w:pStyle w:val="Normal"/>
              <w:suppressAutoHyphens w:val="false"/>
              <w:spacing w:lineRule="atLeast" w:line="300" w:before="0" w:after="0"/>
              <w:rPr>
                <w:color w:val="222222"/>
                <w:sz w:val="20"/>
                <w:szCs w:val="20"/>
                <w:lang w:eastAsia="pt-BR"/>
              </w:rPr>
            </w:pPr>
            <w:r>
              <w:rPr>
                <w:color w:val="222222"/>
                <w:sz w:val="20"/>
                <w:szCs w:val="20"/>
                <w:lang w:eastAsia="pt-BR"/>
              </w:rPr>
              <w:t>2. Os estágios do desenvolvimento na teoria de Jean Piaget;</w:t>
            </w:r>
          </w:p>
          <w:p>
            <w:pPr>
              <w:pStyle w:val="Normal"/>
              <w:suppressAutoHyphens w:val="false"/>
              <w:spacing w:lineRule="atLeast" w:line="300" w:before="0" w:after="0"/>
              <w:rPr>
                <w:color w:val="222222"/>
                <w:sz w:val="20"/>
                <w:szCs w:val="20"/>
                <w:lang w:eastAsia="pt-BR"/>
              </w:rPr>
            </w:pPr>
            <w:r>
              <w:rPr>
                <w:color w:val="222222"/>
                <w:sz w:val="20"/>
                <w:szCs w:val="20"/>
                <w:lang w:eastAsia="pt-BR"/>
              </w:rPr>
              <w:t>3.  Vygotsky e a teoria histórica-cultural. </w:t>
            </w:r>
          </w:p>
          <w:p>
            <w:pPr>
              <w:pStyle w:val="Normal"/>
              <w:spacing w:before="0" w:after="0"/>
              <w:rPr>
                <w:b/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</w:r>
          </w:p>
        </w:tc>
      </w:tr>
      <w:tr>
        <w:trPr/>
        <w:tc>
          <w:tcPr>
            <w:tcW w:w="468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-Bold" w:hAnsi="Times-Bold" w:cs="Times-Bold"/>
                <w:b/>
                <w:b/>
                <w:bCs/>
                <w:color w:val="000000"/>
              </w:rPr>
            </w:pPr>
            <w:r>
              <w:rPr>
                <w:rFonts w:cs="Times-Bold" w:ascii="Times-Bold" w:hAnsi="Times-Bold"/>
                <w:b/>
                <w:bCs/>
                <w:color w:val="000000"/>
              </w:rPr>
              <w:t>04</w:t>
            </w:r>
          </w:p>
        </w:tc>
        <w:tc>
          <w:tcPr>
            <w:tcW w:w="3296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Desenvolvimento e Aprendizagem</w:t>
            </w:r>
          </w:p>
        </w:tc>
        <w:tc>
          <w:tcPr>
            <w:tcW w:w="945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1664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Suzana Libardi </w:t>
            </w:r>
          </w:p>
        </w:tc>
        <w:tc>
          <w:tcPr>
            <w:tcW w:w="2836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uppressAutoHyphens w:val="false"/>
              <w:spacing w:lineRule="atLeast" w:line="300" w:before="0" w:after="0"/>
              <w:jc w:val="both"/>
              <w:rPr>
                <w:color w:val="222222"/>
                <w:sz w:val="20"/>
                <w:szCs w:val="20"/>
                <w:lang w:eastAsia="pt-BR"/>
              </w:rPr>
            </w:pPr>
            <w:r>
              <w:rPr>
                <w:color w:val="222222"/>
                <w:sz w:val="20"/>
                <w:szCs w:val="20"/>
                <w:lang w:eastAsia="pt-BR"/>
              </w:rPr>
            </w:r>
          </w:p>
          <w:p>
            <w:pPr>
              <w:pStyle w:val="Normal"/>
              <w:suppressAutoHyphens w:val="false"/>
              <w:spacing w:lineRule="atLeast" w:line="300" w:before="0" w:after="0"/>
              <w:jc w:val="both"/>
              <w:rPr>
                <w:color w:val="222222"/>
                <w:sz w:val="20"/>
                <w:szCs w:val="20"/>
                <w:lang w:eastAsia="pt-BR"/>
              </w:rPr>
            </w:pPr>
            <w:r>
              <w:rPr>
                <w:color w:val="222222"/>
                <w:sz w:val="20"/>
                <w:szCs w:val="20"/>
                <w:lang w:eastAsia="pt-BR"/>
              </w:rPr>
              <w:t>1. As contribuições da psicanálise para a educação;</w:t>
            </w:r>
          </w:p>
          <w:p>
            <w:pPr>
              <w:pStyle w:val="Normal"/>
              <w:suppressAutoHyphens w:val="false"/>
              <w:spacing w:lineRule="atLeast" w:line="300" w:before="0" w:after="0"/>
              <w:jc w:val="both"/>
              <w:rPr>
                <w:color w:val="222222"/>
                <w:sz w:val="20"/>
                <w:szCs w:val="20"/>
                <w:lang w:eastAsia="pt-BR"/>
              </w:rPr>
            </w:pPr>
            <w:r>
              <w:rPr>
                <w:color w:val="222222"/>
                <w:sz w:val="20"/>
                <w:szCs w:val="20"/>
                <w:lang w:eastAsia="pt-BR"/>
              </w:rPr>
              <w:t>2. Os estágios do desenvolvimento na teoria de Jean Piaget;</w:t>
            </w:r>
          </w:p>
          <w:p>
            <w:pPr>
              <w:pStyle w:val="Normal"/>
              <w:suppressAutoHyphens w:val="false"/>
              <w:spacing w:lineRule="atLeast" w:line="300" w:before="0" w:after="0"/>
              <w:jc w:val="both"/>
              <w:rPr>
                <w:color w:val="222222"/>
                <w:sz w:val="20"/>
                <w:szCs w:val="20"/>
                <w:lang w:eastAsia="pt-BR"/>
              </w:rPr>
            </w:pPr>
            <w:r>
              <w:rPr>
                <w:color w:val="222222"/>
                <w:sz w:val="20"/>
                <w:szCs w:val="20"/>
                <w:lang w:eastAsia="pt-BR"/>
              </w:rPr>
              <w:t>3.  Vygotsky e a teoria histórica-cultural. </w:t>
            </w:r>
          </w:p>
          <w:p>
            <w:pPr>
              <w:pStyle w:val="Normal"/>
              <w:spacing w:before="0" w:after="0"/>
              <w:jc w:val="both"/>
              <w:rPr>
                <w:b/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</w:r>
          </w:p>
        </w:tc>
      </w:tr>
      <w:tr>
        <w:trPr/>
        <w:tc>
          <w:tcPr>
            <w:tcW w:w="468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-Bold" w:hAnsi="Times-Bold" w:cs="Times-Bold"/>
                <w:b/>
                <w:b/>
                <w:bCs/>
                <w:color w:val="000000"/>
              </w:rPr>
            </w:pPr>
            <w:r>
              <w:rPr>
                <w:rFonts w:cs="Times-Bold" w:ascii="Times-Bold" w:hAnsi="Times-Bold"/>
                <w:b/>
                <w:bCs/>
                <w:color w:val="000000"/>
              </w:rPr>
              <w:t>05</w:t>
            </w:r>
          </w:p>
        </w:tc>
        <w:tc>
          <w:tcPr>
            <w:tcW w:w="3296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color w:val="000000"/>
                <w:sz w:val="20"/>
                <w:szCs w:val="20"/>
              </w:rPr>
            </w:pPr>
            <w:r>
              <w:rPr>
                <w:color w:val="222222"/>
                <w:sz w:val="20"/>
                <w:szCs w:val="20"/>
              </w:rPr>
              <w:t>Saberes e Metodologia do ensino de História 1</w:t>
            </w:r>
          </w:p>
        </w:tc>
        <w:tc>
          <w:tcPr>
            <w:tcW w:w="945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1664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Carla Taciane Figueiredo </w:t>
            </w:r>
          </w:p>
        </w:tc>
        <w:tc>
          <w:tcPr>
            <w:tcW w:w="2836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uppressAutoHyphens w:val="false"/>
              <w:spacing w:lineRule="atLeast" w:line="300" w:before="0" w:after="0"/>
              <w:jc w:val="both"/>
              <w:rPr>
                <w:color w:val="222222"/>
                <w:sz w:val="20"/>
                <w:szCs w:val="20"/>
                <w:lang w:eastAsia="pt-BR"/>
              </w:rPr>
            </w:pPr>
            <w:r>
              <w:rPr>
                <w:color w:val="222222"/>
                <w:sz w:val="20"/>
                <w:szCs w:val="20"/>
                <w:lang w:eastAsia="pt-BR"/>
              </w:rPr>
            </w:r>
          </w:p>
          <w:p>
            <w:pPr>
              <w:pStyle w:val="Normal"/>
              <w:suppressAutoHyphens w:val="false"/>
              <w:spacing w:lineRule="atLeast" w:line="300" w:before="0" w:after="0"/>
              <w:jc w:val="both"/>
              <w:rPr>
                <w:color w:val="222222"/>
                <w:sz w:val="20"/>
                <w:szCs w:val="20"/>
                <w:lang w:eastAsia="pt-BR"/>
              </w:rPr>
            </w:pPr>
            <w:r>
              <w:rPr>
                <w:color w:val="222222"/>
                <w:sz w:val="20"/>
                <w:szCs w:val="20"/>
                <w:lang w:eastAsia="pt-BR"/>
              </w:rPr>
              <w:t>1. Linguagens alternativas no ensino de História nos anos Inicias: Possibilidades e desafios.</w:t>
            </w:r>
          </w:p>
          <w:p>
            <w:pPr>
              <w:pStyle w:val="Normal"/>
              <w:suppressAutoHyphens w:val="false"/>
              <w:spacing w:lineRule="atLeast" w:line="300" w:before="0" w:after="0"/>
              <w:jc w:val="both"/>
              <w:rPr>
                <w:color w:val="222222"/>
                <w:sz w:val="20"/>
                <w:szCs w:val="20"/>
                <w:lang w:eastAsia="pt-BR"/>
              </w:rPr>
            </w:pPr>
            <w:r>
              <w:rPr>
                <w:color w:val="222222"/>
                <w:sz w:val="20"/>
                <w:szCs w:val="20"/>
                <w:lang w:eastAsia="pt-BR"/>
              </w:rPr>
              <w:t>2.Educação Patrimonial em Arquivos e Museus e o diálogo com Ensino de História. </w:t>
            </w:r>
          </w:p>
          <w:p>
            <w:pPr>
              <w:pStyle w:val="Normal"/>
              <w:spacing w:before="0" w:after="0"/>
              <w:jc w:val="both"/>
              <w:rPr>
                <w:b/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</w:r>
          </w:p>
        </w:tc>
      </w:tr>
    </w:tbl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>
          <w:b/>
          <w:b/>
          <w:color w:val="000000"/>
          <w:sz w:val="26"/>
          <w:szCs w:val="26"/>
        </w:rPr>
      </w:pPr>
      <w:r>
        <w:rPr/>
        <mc:AlternateContent>
          <mc:Choice Requires="wps">
            <w:drawing>
              <wp:inline distT="0" distB="0" distL="0" distR="0">
                <wp:extent cx="619760" cy="695960"/>
                <wp:effectExtent l="0" t="0" r="0" b="0"/>
                <wp:docPr id="2" name=""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 descr=""/>
                        <pic:cNvPicPr/>
                      </pic:nvPicPr>
                      <pic:blipFill>
                        <a:blip r:embed="rId2"/>
                        <a:stretch/>
                      </pic:blipFill>
                      <pic:spPr>
                        <a:xfrm>
                          <a:off x="0" y="0"/>
                          <a:ext cx="619200" cy="69516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rect id="shape_0" stroked="f" style="position:absolute;margin-left:0pt;margin-top:-54.8pt;width:48.7pt;height:54.7pt;mso-position-vertical:top">
                <v:imagedata r:id="rId2" o:detectmouseclick="t"/>
                <w10:wrap type="none"/>
                <v:stroke color="#3465a4" joinstyle="round" endcap="flat"/>
              </v:rect>
            </w:pict>
          </mc:Fallback>
        </mc:AlternateContent>
      </w:r>
    </w:p>
    <w:p>
      <w:pPr>
        <w:pStyle w:val="Normal"/>
        <w:jc w:val="center"/>
        <w:rPr>
          <w:b/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>SERVIÇO PÚBLICO FEDERAL</w:t>
      </w:r>
    </w:p>
    <w:p>
      <w:pPr>
        <w:pStyle w:val="Normal"/>
        <w:jc w:val="center"/>
        <w:rPr>
          <w:b/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>UNIVERSIDADE FEDERAL DE ALAGOAS - UFAL</w:t>
      </w:r>
    </w:p>
    <w:p>
      <w:pPr>
        <w:pStyle w:val="Normal"/>
        <w:jc w:val="center"/>
        <w:rPr>
          <w:b/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>CAMPUS DO SERTÃO – DELMIRO GOUVEIA</w:t>
      </w:r>
    </w:p>
    <w:p>
      <w:pPr>
        <w:pStyle w:val="Normal"/>
        <w:jc w:val="center"/>
        <w:rPr>
          <w:b/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>COORDENAÇÃO DE MONITORIA – COGRAD</w:t>
      </w:r>
    </w:p>
    <w:p>
      <w:pPr>
        <w:pStyle w:val="Normal"/>
        <w:jc w:val="center"/>
        <w:rPr>
          <w:b/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</w:r>
    </w:p>
    <w:p>
      <w:pPr>
        <w:pStyle w:val="Normal"/>
        <w:jc w:val="center"/>
        <w:rPr>
          <w:b/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</w:r>
    </w:p>
    <w:p>
      <w:pPr>
        <w:pStyle w:val="Normal"/>
        <w:jc w:val="center"/>
        <w:rPr>
          <w:b/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 xml:space="preserve">QUADRO DE VAGAS </w:t>
      </w:r>
    </w:p>
    <w:p>
      <w:pPr>
        <w:pStyle w:val="Normal"/>
        <w:jc w:val="center"/>
        <w:rPr>
          <w:b/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>MONITORIA – 2019</w:t>
      </w:r>
    </w:p>
    <w:p>
      <w:pPr>
        <w:pStyle w:val="Normal"/>
        <w:rPr>
          <w:b/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</w:r>
    </w:p>
    <w:p>
      <w:pPr>
        <w:pStyle w:val="Normal"/>
        <w:rPr>
          <w:b/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>Curso: Pedagogia</w:t>
      </w:r>
    </w:p>
    <w:p>
      <w:pPr>
        <w:pStyle w:val="Normal"/>
        <w:rPr>
          <w:b/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 xml:space="preserve">Coordenador(a): Ana Cristina Conceição Santos </w:t>
      </w:r>
    </w:p>
    <w:p>
      <w:pPr>
        <w:pStyle w:val="Normal"/>
        <w:rPr>
          <w:b/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</w:r>
    </w:p>
    <w:tbl>
      <w:tblPr>
        <w:tblStyle w:val="Tabelacomgrade"/>
        <w:tblW w:w="8494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68"/>
        <w:gridCol w:w="2784"/>
        <w:gridCol w:w="1011"/>
        <w:gridCol w:w="1703"/>
        <w:gridCol w:w="2528"/>
      </w:tblGrid>
      <w:tr>
        <w:trPr/>
        <w:tc>
          <w:tcPr>
            <w:tcW w:w="468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-Bold" w:hAnsi="Times-Bold" w:cs="Times-Bold"/>
                <w:b/>
                <w:b/>
                <w:bCs/>
                <w:color w:val="000000"/>
              </w:rPr>
            </w:pPr>
            <w:r>
              <w:rPr>
                <w:rFonts w:cs="Times-Bold" w:ascii="Times-Bold" w:hAnsi="Times-Bold"/>
                <w:b/>
                <w:bCs/>
                <w:color w:val="000000"/>
              </w:rPr>
              <w:t>Nº</w:t>
            </w:r>
          </w:p>
        </w:tc>
        <w:tc>
          <w:tcPr>
            <w:tcW w:w="8026" w:type="dxa"/>
            <w:gridSpan w:val="4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-Bold" w:hAnsi="Times-Bold" w:cs="Times-Bold"/>
                <w:b/>
                <w:b/>
                <w:bCs/>
                <w:color w:val="000000"/>
              </w:rPr>
            </w:pPr>
            <w:r>
              <w:rPr>
                <w:rFonts w:cs="Times-Bold" w:ascii="Times-Bold" w:hAnsi="Times-Bold"/>
                <w:b/>
                <w:bCs/>
                <w:color w:val="000000"/>
              </w:rPr>
              <w:t>SEM BOLSA</w:t>
            </w:r>
          </w:p>
        </w:tc>
      </w:tr>
      <w:tr>
        <w:trPr/>
        <w:tc>
          <w:tcPr>
            <w:tcW w:w="468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-Bold" w:hAnsi="Times-Bold" w:cs="Times-Bold"/>
                <w:b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Times-Bold" w:ascii="Times-Bold" w:hAnsi="Times-Bold"/>
                <w:b/>
                <w:bCs/>
                <w:color w:val="000000"/>
                <w:sz w:val="20"/>
                <w:szCs w:val="20"/>
              </w:rPr>
            </w:r>
          </w:p>
        </w:tc>
        <w:tc>
          <w:tcPr>
            <w:tcW w:w="2784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-Bold" w:hAnsi="Times-Bold" w:cs="Times-Bold"/>
                <w:b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Times-Bold" w:ascii="Times-Bold" w:hAnsi="Times-Bold"/>
                <w:b/>
                <w:bCs/>
                <w:color w:val="000000"/>
                <w:sz w:val="20"/>
                <w:szCs w:val="20"/>
              </w:rPr>
              <w:t>DISCIPLINA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-Bold" w:hAnsi="Times-Bold" w:cs="Times-Bold"/>
                <w:b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Times-Bold" w:ascii="Times-Bold" w:hAnsi="Times-Bold"/>
                <w:b/>
                <w:bCs/>
                <w:color w:val="000000"/>
                <w:sz w:val="20"/>
                <w:szCs w:val="20"/>
              </w:rPr>
            </w:r>
          </w:p>
        </w:tc>
        <w:tc>
          <w:tcPr>
            <w:tcW w:w="1011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ind w:left="140" w:hanging="0"/>
              <w:jc w:val="center"/>
              <w:rPr>
                <w:rFonts w:ascii="Times-Bold" w:hAnsi="Times-Bold" w:cs="Times-Bold"/>
                <w:b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Times-Bold" w:ascii="Times-Bold" w:hAnsi="Times-Bold"/>
                <w:b/>
                <w:bCs/>
                <w:color w:val="000000"/>
                <w:sz w:val="20"/>
                <w:szCs w:val="20"/>
              </w:rPr>
              <w:t>VAGA (QT.)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-Bold" w:hAnsi="Times-Bold" w:cs="Times-Bold"/>
                <w:b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Times-Bold" w:ascii="Times-Bold" w:hAnsi="Times-Bold"/>
                <w:b/>
                <w:bCs/>
                <w:color w:val="000000"/>
                <w:sz w:val="20"/>
                <w:szCs w:val="20"/>
              </w:rPr>
            </w:r>
          </w:p>
        </w:tc>
        <w:tc>
          <w:tcPr>
            <w:tcW w:w="1703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ind w:left="5" w:hanging="0"/>
              <w:jc w:val="center"/>
              <w:rPr>
                <w:rFonts w:ascii="Times-Bold" w:hAnsi="Times-Bold" w:cs="Times-Bold"/>
                <w:b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Times-Bold" w:ascii="Times-Bold" w:hAnsi="Times-Bold"/>
                <w:b/>
                <w:bCs/>
                <w:color w:val="000000"/>
                <w:sz w:val="20"/>
                <w:szCs w:val="20"/>
              </w:rPr>
              <w:t>PROF. ORIENTADOR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-Bold" w:hAnsi="Times-Bold" w:cs="Times-Bold"/>
                <w:b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Times-Bold" w:ascii="Times-Bold" w:hAnsi="Times-Bold"/>
                <w:b/>
                <w:bCs/>
                <w:color w:val="000000"/>
                <w:sz w:val="20"/>
                <w:szCs w:val="20"/>
              </w:rPr>
            </w:r>
          </w:p>
        </w:tc>
        <w:tc>
          <w:tcPr>
            <w:tcW w:w="2528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-Bold" w:hAnsi="Times-Bold" w:cs="Times-Bold"/>
                <w:b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Times-Bold" w:ascii="Times-Bold" w:hAnsi="Times-Bold"/>
                <w:b/>
                <w:bCs/>
                <w:color w:val="000000"/>
                <w:sz w:val="20"/>
                <w:szCs w:val="20"/>
              </w:rPr>
              <w:t>PONTO PARA PROVA ESCRITA</w:t>
            </w:r>
          </w:p>
        </w:tc>
      </w:tr>
      <w:tr>
        <w:trPr/>
        <w:tc>
          <w:tcPr>
            <w:tcW w:w="468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-Bold" w:hAnsi="Times-Bold" w:cs="Times-Bold"/>
                <w:b/>
                <w:b/>
                <w:bCs/>
                <w:color w:val="000000"/>
              </w:rPr>
            </w:pPr>
            <w:r>
              <w:rPr>
                <w:rFonts w:cs="Times-Bold" w:ascii="Times-Bold" w:hAnsi="Times-Bold"/>
                <w:b/>
                <w:bCs/>
                <w:color w:val="000000"/>
              </w:rPr>
              <w:t>01</w:t>
            </w:r>
          </w:p>
        </w:tc>
        <w:tc>
          <w:tcPr>
            <w:tcW w:w="2784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-Bold" w:hAnsi="Times-Bold" w:cs="Times-Bold"/>
                <w:b/>
                <w:b/>
                <w:bCs/>
                <w:color w:val="000000"/>
              </w:rPr>
            </w:pPr>
            <w:r>
              <w:rPr>
                <w:sz w:val="20"/>
                <w:szCs w:val="20"/>
              </w:rPr>
              <w:t>Estágio Supervisionado 3</w:t>
            </w:r>
          </w:p>
        </w:tc>
        <w:tc>
          <w:tcPr>
            <w:tcW w:w="1011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-Bold" w:hAnsi="Times-Bold" w:cs="Times-Bold"/>
                <w:b/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1703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-Bold" w:hAnsi="Times-Bold" w:cs="Times-Bold"/>
                <w:b/>
                <w:b/>
                <w:bCs/>
                <w:color w:val="000000"/>
              </w:rPr>
            </w:pPr>
            <w:r>
              <w:rPr>
                <w:sz w:val="20"/>
                <w:szCs w:val="20"/>
              </w:rPr>
              <w:t xml:space="preserve">Rodrigo Pereira </w:t>
            </w:r>
          </w:p>
        </w:tc>
        <w:tc>
          <w:tcPr>
            <w:tcW w:w="2528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numPr>
                <w:ilvl w:val="0"/>
                <w:numId w:val="2"/>
              </w:numPr>
              <w:suppressAutoHyphens w:val="false"/>
              <w:spacing w:lineRule="auto" w:line="240" w:beforeAutospacing="1" w:after="0"/>
              <w:ind w:left="945" w:hanging="360"/>
              <w:jc w:val="both"/>
              <w:rPr>
                <w:color w:val="000000"/>
                <w:sz w:val="20"/>
                <w:szCs w:val="20"/>
                <w:lang w:eastAsia="pt-BR"/>
              </w:rPr>
            </w:pPr>
            <w:r>
              <w:rPr>
                <w:color w:val="000000"/>
                <w:sz w:val="20"/>
                <w:szCs w:val="20"/>
                <w:lang w:eastAsia="pt-BR"/>
              </w:rPr>
              <w:t>História da formação de professores no Brasil;</w:t>
            </w:r>
          </w:p>
          <w:p>
            <w:pPr>
              <w:pStyle w:val="Normal"/>
              <w:numPr>
                <w:ilvl w:val="0"/>
                <w:numId w:val="2"/>
              </w:numPr>
              <w:suppressAutoHyphens w:val="false"/>
              <w:spacing w:lineRule="auto" w:line="240" w:before="0" w:after="0"/>
              <w:ind w:left="945" w:hanging="360"/>
              <w:jc w:val="both"/>
              <w:rPr>
                <w:color w:val="000000"/>
                <w:sz w:val="20"/>
                <w:szCs w:val="20"/>
                <w:lang w:eastAsia="pt-BR"/>
              </w:rPr>
            </w:pPr>
            <w:r>
              <w:rPr>
                <w:color w:val="000000"/>
                <w:sz w:val="20"/>
                <w:szCs w:val="20"/>
                <w:lang w:eastAsia="pt-BR"/>
              </w:rPr>
              <w:t>O Ensino fundamental e as características do desenvolvimento cognitivo das crianças;</w:t>
            </w:r>
          </w:p>
          <w:p>
            <w:pPr>
              <w:pStyle w:val="Normal"/>
              <w:numPr>
                <w:ilvl w:val="0"/>
                <w:numId w:val="2"/>
              </w:numPr>
              <w:suppressAutoHyphens w:val="false"/>
              <w:spacing w:lineRule="auto" w:line="240" w:before="0" w:afterAutospacing="1"/>
              <w:ind w:left="945" w:hanging="360"/>
              <w:jc w:val="both"/>
              <w:rPr>
                <w:color w:val="000000"/>
                <w:sz w:val="20"/>
                <w:szCs w:val="20"/>
                <w:lang w:eastAsia="pt-BR"/>
              </w:rPr>
            </w:pPr>
            <w:r>
              <w:rPr>
                <w:color w:val="000000"/>
                <w:sz w:val="20"/>
                <w:szCs w:val="20"/>
                <w:lang w:eastAsia="pt-BR"/>
              </w:rPr>
              <w:t>Planejamento e metodologia do ensino para o ensino fundamental.</w:t>
            </w:r>
          </w:p>
          <w:p>
            <w:pPr>
              <w:pStyle w:val="Normal"/>
              <w:spacing w:lineRule="auto" w:line="240" w:before="0" w:after="0"/>
              <w:jc w:val="both"/>
              <w:rPr>
                <w:b/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</w:r>
          </w:p>
        </w:tc>
      </w:tr>
      <w:tr>
        <w:trPr/>
        <w:tc>
          <w:tcPr>
            <w:tcW w:w="468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-Bold" w:hAnsi="Times-Bold" w:cs="Times-Bold"/>
                <w:b/>
                <w:b/>
                <w:bCs/>
                <w:color w:val="000000"/>
              </w:rPr>
            </w:pPr>
            <w:r>
              <w:rPr>
                <w:rFonts w:cs="Times-Bold" w:ascii="Times-Bold" w:hAnsi="Times-Bold"/>
                <w:b/>
                <w:bCs/>
                <w:color w:val="000000"/>
              </w:rPr>
              <w:t>02</w:t>
            </w:r>
          </w:p>
        </w:tc>
        <w:tc>
          <w:tcPr>
            <w:tcW w:w="2784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-Bold" w:hAnsi="Times-Bold" w:cs="Times-Bold"/>
                <w:b/>
                <w:b/>
                <w:bCs/>
                <w:color w:val="000000"/>
              </w:rPr>
            </w:pPr>
            <w:r>
              <w:rPr>
                <w:sz w:val="20"/>
                <w:szCs w:val="20"/>
              </w:rPr>
              <w:t>Literatura Infantil</w:t>
            </w:r>
          </w:p>
        </w:tc>
        <w:tc>
          <w:tcPr>
            <w:tcW w:w="1011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-Bold" w:hAnsi="Times-Bold" w:cs="Times-Bold"/>
                <w:b/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1703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-Bold" w:hAnsi="Times-Bold" w:cs="Times-Bold"/>
                <w:b/>
                <w:b/>
                <w:bCs/>
                <w:color w:val="000000"/>
              </w:rPr>
            </w:pPr>
            <w:r>
              <w:rPr>
                <w:sz w:val="20"/>
                <w:szCs w:val="20"/>
              </w:rPr>
              <w:t xml:space="preserve">Denson André </w:t>
            </w:r>
          </w:p>
        </w:tc>
        <w:tc>
          <w:tcPr>
            <w:tcW w:w="2528" w:type="dxa"/>
            <w:tcBorders/>
            <w:shd w:fill="auto" w:val="clear"/>
            <w:tcMar>
              <w:left w:w="108" w:type="dxa"/>
            </w:tcMar>
          </w:tcPr>
          <w:p>
            <w:pPr>
              <w:pStyle w:val="ListParagraph"/>
              <w:numPr>
                <w:ilvl w:val="0"/>
                <w:numId w:val="3"/>
              </w:numPr>
              <w:spacing w:lineRule="auto" w:line="240" w:before="0" w:after="0"/>
              <w:contextualSpacing/>
              <w:jc w:val="both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Literatura Infantil</w:t>
            </w:r>
          </w:p>
          <w:p>
            <w:pPr>
              <w:pStyle w:val="ListParagraph"/>
              <w:numPr>
                <w:ilvl w:val="0"/>
                <w:numId w:val="3"/>
              </w:numPr>
              <w:spacing w:lineRule="auto" w:line="240" w:before="0" w:after="0"/>
              <w:contextualSpacing/>
              <w:jc w:val="both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A literatura infantil na alfabetização </w:t>
            </w:r>
          </w:p>
          <w:p>
            <w:pPr>
              <w:pStyle w:val="ListParagraph"/>
              <w:numPr>
                <w:ilvl w:val="0"/>
                <w:numId w:val="3"/>
              </w:numPr>
              <w:spacing w:lineRule="auto" w:line="240" w:before="0" w:after="0"/>
              <w:contextualSpacing/>
              <w:jc w:val="both"/>
              <w:rPr>
                <w:b/>
                <w:b/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Principais gêneros textuais da Literatura Infantil</w:t>
            </w:r>
          </w:p>
        </w:tc>
      </w:tr>
    </w:tbl>
    <w:p>
      <w:pPr>
        <w:pStyle w:val="Normal"/>
        <w:rPr/>
      </w:pPr>
      <w:r>
        <w:rPr/>
      </w:r>
    </w:p>
    <w:sectPr>
      <w:type w:val="nextPage"/>
      <w:pgSz w:w="11906" w:h="16838"/>
      <w:pgMar w:left="1701" w:right="1701" w:header="0" w:top="1417" w:footer="0" w:bottom="1417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Times-Bold">
    <w:charset w:val="00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fals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pt-BR" w:eastAsia="en-US" w:bidi="ar-SA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532eae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eastAsia="zh-CN" w:val="pt-BR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Ttulo">
    <w:name w:val="Título"/>
    <w:basedOn w:val="Normal"/>
    <w:next w:val="Corpodetexto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Corpodetexto">
    <w:name w:val="Body Text"/>
    <w:basedOn w:val="Normal"/>
    <w:pPr>
      <w:spacing w:lineRule="auto" w:line="288" w:before="0" w:after="140"/>
    </w:pPr>
    <w:rPr/>
  </w:style>
  <w:style w:type="paragraph" w:styleId="Lista">
    <w:name w:val="List"/>
    <w:basedOn w:val="Corpodetexto"/>
    <w:pPr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Mangal"/>
    </w:rPr>
  </w:style>
  <w:style w:type="paragraph" w:styleId="ListParagraph">
    <w:name w:val="List Paragraph"/>
    <w:basedOn w:val="Normal"/>
    <w:uiPriority w:val="34"/>
    <w:qFormat/>
    <w:rsid w:val="00db2745"/>
    <w:pPr>
      <w:spacing w:before="0" w:after="0"/>
      <w:ind w:left="720" w:hanging="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elacomgrade">
    <w:name w:val="Table Grid"/>
    <w:basedOn w:val="Tabelanormal"/>
    <w:uiPriority w:val="39"/>
    <w:rsid w:val="00532eae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Application>LibreOffice/5.4.4.2$Windows_X86_64 LibreOffice_project/2524958677847fb3bb44820e40380acbe820f960</Application>
  <Pages>3</Pages>
  <Words>298</Words>
  <Characters>1741</Characters>
  <CharactersWithSpaces>1975</CharactersWithSpaces>
  <Paragraphs>78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2019-04-13T20:57:00Z</dcterms:created>
  <dc:creator>User</dc:creator>
  <dc:description/>
  <dc:language>pt-BR</dc:language>
  <cp:lastModifiedBy/>
  <cp:lastPrinted>2019-04-15T17:36:02Z</cp:lastPrinted>
  <dcterms:modified xsi:type="dcterms:W3CDTF">2019-04-15T17:36:28Z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